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32" w:rsidRDefault="00C21B32" w:rsidP="003008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eastAsia="x-none"/>
        </w:rPr>
      </w:pPr>
    </w:p>
    <w:p w:rsidR="00C21B32" w:rsidRDefault="00C21B32" w:rsidP="003008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eastAsia="x-none"/>
        </w:rPr>
      </w:pPr>
    </w:p>
    <w:p w:rsidR="0030085E" w:rsidRPr="00FE7633" w:rsidRDefault="0030085E" w:rsidP="003008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val="x-none" w:eastAsia="x-none"/>
        </w:rPr>
      </w:pP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 xml:space="preserve">ATA DE JULGAMENTO DOS ENVELOPES DE HABILITAÇÃO E PROPOSTAS RELATIVOS A </w:t>
      </w:r>
      <w:r>
        <w:rPr>
          <w:rFonts w:ascii="Arial" w:hAnsi="Arial"/>
          <w:b/>
          <w:iCs/>
          <w:spacing w:val="-3"/>
          <w:sz w:val="28"/>
          <w:lang w:val="x-none" w:eastAsia="x-none"/>
        </w:rPr>
        <w:t>TOMADA DE PREÇOS</w:t>
      </w: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 xml:space="preserve"> Nº. </w:t>
      </w:r>
      <w:r>
        <w:rPr>
          <w:rFonts w:ascii="Arial" w:hAnsi="Arial"/>
          <w:b/>
          <w:iCs/>
          <w:spacing w:val="-3"/>
          <w:sz w:val="28"/>
          <w:lang w:eastAsia="x-none"/>
        </w:rPr>
        <w:t>0</w:t>
      </w:r>
      <w:r w:rsidR="00A41B16">
        <w:rPr>
          <w:rFonts w:ascii="Arial" w:hAnsi="Arial"/>
          <w:b/>
          <w:iCs/>
          <w:spacing w:val="-3"/>
          <w:sz w:val="28"/>
          <w:lang w:eastAsia="x-none"/>
        </w:rPr>
        <w:t>3</w:t>
      </w: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>/</w:t>
      </w:r>
      <w:r>
        <w:rPr>
          <w:rFonts w:ascii="Arial" w:hAnsi="Arial"/>
          <w:b/>
          <w:iCs/>
          <w:spacing w:val="-3"/>
          <w:sz w:val="28"/>
          <w:lang w:val="x-none" w:eastAsia="x-none"/>
        </w:rPr>
        <w:t>201</w:t>
      </w:r>
      <w:r w:rsidR="00A41B16">
        <w:rPr>
          <w:rFonts w:ascii="Arial" w:hAnsi="Arial"/>
          <w:b/>
          <w:iCs/>
          <w:spacing w:val="-3"/>
          <w:sz w:val="28"/>
          <w:lang w:eastAsia="x-none"/>
        </w:rPr>
        <w:t>7</w:t>
      </w:r>
    </w:p>
    <w:p w:rsidR="00E2615C" w:rsidRDefault="00E2615C" w:rsidP="0030085E">
      <w:pPr>
        <w:spacing w:after="0" w:line="240" w:lineRule="auto"/>
        <w:jc w:val="both"/>
        <w:rPr>
          <w:rFonts w:ascii="Arial" w:hAnsi="Arial"/>
          <w:sz w:val="24"/>
        </w:rPr>
      </w:pPr>
    </w:p>
    <w:p w:rsidR="00C21B32" w:rsidRDefault="00C21B32" w:rsidP="0030085E">
      <w:pPr>
        <w:spacing w:after="0" w:line="240" w:lineRule="auto"/>
        <w:jc w:val="both"/>
        <w:rPr>
          <w:rFonts w:ascii="Arial" w:hAnsi="Arial"/>
          <w:sz w:val="24"/>
        </w:rPr>
      </w:pPr>
    </w:p>
    <w:p w:rsidR="00C21B32" w:rsidRPr="00FE7633" w:rsidRDefault="00C21B32" w:rsidP="0030085E">
      <w:pPr>
        <w:spacing w:after="0" w:line="240" w:lineRule="auto"/>
        <w:jc w:val="both"/>
        <w:rPr>
          <w:rFonts w:ascii="Arial" w:hAnsi="Arial"/>
          <w:sz w:val="24"/>
        </w:rPr>
      </w:pPr>
    </w:p>
    <w:p w:rsidR="0030085E" w:rsidRDefault="0030085E" w:rsidP="0030085E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Aos </w:t>
      </w:r>
      <w:r w:rsidR="00A41B16">
        <w:rPr>
          <w:rFonts w:ascii="Arial" w:hAnsi="Arial"/>
          <w:sz w:val="24"/>
        </w:rPr>
        <w:t>vinte e oito</w:t>
      </w:r>
      <w:r>
        <w:rPr>
          <w:rFonts w:ascii="Arial" w:hAnsi="Arial"/>
          <w:sz w:val="24"/>
        </w:rPr>
        <w:t xml:space="preserve"> dias do mês de </w:t>
      </w:r>
      <w:r w:rsidR="00A41B16">
        <w:rPr>
          <w:rFonts w:ascii="Arial" w:hAnsi="Arial"/>
          <w:sz w:val="24"/>
        </w:rPr>
        <w:t>junho</w:t>
      </w:r>
      <w:r>
        <w:rPr>
          <w:rFonts w:ascii="Arial" w:hAnsi="Arial"/>
          <w:sz w:val="24"/>
        </w:rPr>
        <w:t xml:space="preserve"> de dois mil e dezess</w:t>
      </w:r>
      <w:r w:rsidR="00A41B16">
        <w:rPr>
          <w:rFonts w:ascii="Arial" w:hAnsi="Arial"/>
          <w:sz w:val="24"/>
        </w:rPr>
        <w:t>ete</w:t>
      </w:r>
      <w:r w:rsidRPr="00FE7633">
        <w:rPr>
          <w:rFonts w:ascii="Arial" w:hAnsi="Arial"/>
          <w:sz w:val="24"/>
        </w:rPr>
        <w:t xml:space="preserve">, às </w:t>
      </w:r>
      <w:r w:rsidR="00A41B16">
        <w:rPr>
          <w:rFonts w:ascii="Arial" w:hAnsi="Arial"/>
          <w:sz w:val="24"/>
        </w:rPr>
        <w:t>quatorze</w:t>
      </w:r>
      <w:r w:rsidRPr="00FE7633">
        <w:rPr>
          <w:rFonts w:ascii="Arial" w:hAnsi="Arial"/>
          <w:sz w:val="24"/>
        </w:rPr>
        <w:t xml:space="preserve"> horas reuniu-se a Comissão de Licitações nomeada pela portaria </w:t>
      </w:r>
      <w:r w:rsidR="00A41B16">
        <w:rPr>
          <w:rFonts w:ascii="Arial" w:hAnsi="Arial"/>
          <w:sz w:val="24"/>
        </w:rPr>
        <w:t>1.149/2017</w:t>
      </w:r>
      <w:r w:rsidRPr="00FE7633">
        <w:rPr>
          <w:rFonts w:ascii="Arial" w:hAnsi="Arial"/>
          <w:sz w:val="24"/>
        </w:rPr>
        <w:t xml:space="preserve">, para julgamento dos envelopes relativos ao Edital acima citado que objetiva </w:t>
      </w:r>
      <w:r w:rsidR="00A41B16">
        <w:rPr>
          <w:rFonts w:ascii="Arial" w:hAnsi="Arial"/>
          <w:sz w:val="24"/>
        </w:rPr>
        <w:t>CONTRATAÇÃO DE SERVIÇOS COM APLICAÇÃO DE MATERIAL PARA CONSTRUÇÃO DE LÓCULOS MORTUÁRIOS NO CEMITÉRIO REPOUSO</w:t>
      </w:r>
      <w:r w:rsidRPr="00FE7633">
        <w:rPr>
          <w:rFonts w:ascii="Arial" w:hAnsi="Arial"/>
          <w:sz w:val="24"/>
        </w:rPr>
        <w:t>.  Foram apresentados os envelopes da</w:t>
      </w:r>
      <w:r>
        <w:rPr>
          <w:rFonts w:ascii="Arial" w:hAnsi="Arial"/>
          <w:sz w:val="24"/>
        </w:rPr>
        <w:t>s</w:t>
      </w:r>
      <w:r w:rsidRPr="00FE7633">
        <w:rPr>
          <w:rFonts w:ascii="Arial" w:hAnsi="Arial"/>
          <w:sz w:val="24"/>
        </w:rPr>
        <w:t xml:space="preserve"> licitante</w:t>
      </w:r>
      <w:r>
        <w:rPr>
          <w:rFonts w:ascii="Arial" w:hAnsi="Arial"/>
          <w:sz w:val="24"/>
        </w:rPr>
        <w:t>s</w:t>
      </w:r>
      <w:r w:rsidRPr="00FE7633">
        <w:rPr>
          <w:rFonts w:ascii="Arial" w:hAnsi="Arial"/>
          <w:sz w:val="24"/>
        </w:rPr>
        <w:t>:</w:t>
      </w:r>
    </w:p>
    <w:p w:rsidR="00C21B32" w:rsidRDefault="00C21B32" w:rsidP="0030085E">
      <w:pPr>
        <w:spacing w:after="0" w:line="240" w:lineRule="auto"/>
        <w:jc w:val="both"/>
        <w:rPr>
          <w:rFonts w:ascii="Arial" w:hAnsi="Arial"/>
          <w:sz w:val="24"/>
        </w:rPr>
      </w:pPr>
    </w:p>
    <w:p w:rsidR="00E2615C" w:rsidRPr="00FE7633" w:rsidRDefault="00E2615C" w:rsidP="0030085E">
      <w:pPr>
        <w:spacing w:after="0" w:line="240" w:lineRule="auto"/>
        <w:jc w:val="both"/>
        <w:rPr>
          <w:rFonts w:ascii="Arial" w:hAnsi="Arial"/>
          <w:sz w:val="2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3"/>
        <w:gridCol w:w="2693"/>
      </w:tblGrid>
      <w:tr w:rsidR="0030085E" w:rsidRPr="00FE7633" w:rsidTr="0030085E">
        <w:tc>
          <w:tcPr>
            <w:tcW w:w="7543" w:type="dxa"/>
            <w:shd w:val="clear" w:color="auto" w:fill="auto"/>
          </w:tcPr>
          <w:p w:rsidR="0030085E" w:rsidRPr="00FE7633" w:rsidRDefault="0030085E" w:rsidP="00487BA7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 w:rsidRPr="00FE7633">
              <w:rPr>
                <w:rFonts w:ascii="Arial" w:hAnsi="Arial"/>
                <w:sz w:val="24"/>
              </w:rPr>
              <w:t>EMPRESA</w:t>
            </w:r>
          </w:p>
        </w:tc>
        <w:tc>
          <w:tcPr>
            <w:tcW w:w="2693" w:type="dxa"/>
            <w:shd w:val="clear" w:color="auto" w:fill="auto"/>
          </w:tcPr>
          <w:p w:rsidR="0030085E" w:rsidRPr="00FE7633" w:rsidRDefault="0030085E" w:rsidP="00487BA7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 w:rsidRPr="00FE7633">
              <w:rPr>
                <w:rFonts w:ascii="Arial" w:hAnsi="Arial"/>
                <w:sz w:val="24"/>
              </w:rPr>
              <w:t>CNPJ</w:t>
            </w:r>
          </w:p>
        </w:tc>
      </w:tr>
      <w:tr w:rsidR="0030085E" w:rsidRPr="00FE7633" w:rsidTr="0030085E">
        <w:tc>
          <w:tcPr>
            <w:tcW w:w="7543" w:type="dxa"/>
            <w:shd w:val="clear" w:color="auto" w:fill="auto"/>
          </w:tcPr>
          <w:p w:rsidR="0030085E" w:rsidRPr="00FE7633" w:rsidRDefault="003321EB" w:rsidP="0030085E">
            <w:pPr>
              <w:spacing w:after="0" w:line="276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AMARAL &amp; ALMEIDA EMPREITEIRA DE MÃO-DE-OBRA LTDA ME</w:t>
            </w:r>
          </w:p>
        </w:tc>
        <w:tc>
          <w:tcPr>
            <w:tcW w:w="2693" w:type="dxa"/>
            <w:shd w:val="clear" w:color="auto" w:fill="auto"/>
          </w:tcPr>
          <w:p w:rsidR="0030085E" w:rsidRPr="00FE7633" w:rsidRDefault="003321EB" w:rsidP="00487BA7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08.817.861/0001-79</w:t>
            </w:r>
          </w:p>
        </w:tc>
      </w:tr>
      <w:tr w:rsidR="0030085E" w:rsidRPr="00FE7633" w:rsidTr="005F26BF">
        <w:tc>
          <w:tcPr>
            <w:tcW w:w="7543" w:type="dxa"/>
            <w:tcBorders>
              <w:bottom w:val="single" w:sz="4" w:space="0" w:color="auto"/>
            </w:tcBorders>
            <w:shd w:val="clear" w:color="auto" w:fill="auto"/>
          </w:tcPr>
          <w:p w:rsidR="0030085E" w:rsidRPr="0030085E" w:rsidRDefault="003321EB" w:rsidP="0030085E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LL MAIS ESTILO EIRELI 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0085E" w:rsidRPr="00FE7633" w:rsidRDefault="003321EB" w:rsidP="00487BA7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18.599.556/0001-01</w:t>
            </w:r>
          </w:p>
        </w:tc>
      </w:tr>
      <w:tr w:rsidR="00790352" w:rsidRPr="00FE7633" w:rsidTr="005F26BF"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52" w:rsidRPr="00790352" w:rsidRDefault="005F26BF" w:rsidP="00487BA7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ADILSON DE LIMA FLORES 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52" w:rsidRPr="00FE7633" w:rsidRDefault="005F26BF" w:rsidP="00487BA7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15.670.448/0001-90</w:t>
            </w:r>
          </w:p>
        </w:tc>
      </w:tr>
      <w:tr w:rsidR="00790352" w:rsidRPr="00FE7633" w:rsidTr="005F26BF">
        <w:tc>
          <w:tcPr>
            <w:tcW w:w="7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0352" w:rsidRPr="0030085E" w:rsidRDefault="00790352" w:rsidP="00487BA7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0352" w:rsidRDefault="00790352" w:rsidP="00487BA7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</w:p>
          <w:p w:rsidR="00C21B32" w:rsidRPr="00FE7633" w:rsidRDefault="00C21B32" w:rsidP="00487BA7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0085E" w:rsidRDefault="00FC2378" w:rsidP="00300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Todas as</w:t>
      </w:r>
      <w:r w:rsidR="0030085E" w:rsidRPr="00FE7633">
        <w:rPr>
          <w:rFonts w:ascii="Arial" w:hAnsi="Arial"/>
          <w:sz w:val="24"/>
        </w:rPr>
        <w:t xml:space="preserve"> licitante</w:t>
      </w:r>
      <w:r>
        <w:rPr>
          <w:rFonts w:ascii="Arial" w:hAnsi="Arial"/>
          <w:sz w:val="24"/>
        </w:rPr>
        <w:t>s</w:t>
      </w:r>
      <w:r w:rsidR="0030085E" w:rsidRPr="00FE7633">
        <w:rPr>
          <w:rFonts w:ascii="Arial" w:hAnsi="Arial"/>
          <w:sz w:val="24"/>
        </w:rPr>
        <w:t xml:space="preserve"> estavam representadas. </w:t>
      </w:r>
      <w:r w:rsidR="00AF2CD3">
        <w:rPr>
          <w:rFonts w:ascii="Arial" w:hAnsi="Arial"/>
          <w:sz w:val="24"/>
        </w:rPr>
        <w:t>A</w:t>
      </w:r>
      <w:r w:rsidR="0030085E" w:rsidRPr="00FE7633">
        <w:rPr>
          <w:rFonts w:ascii="Arial" w:hAnsi="Arial"/>
          <w:sz w:val="24"/>
        </w:rPr>
        <w:t xml:space="preserve"> Comissão passou para abertura dos envelopes contendo a documentação bem como declaração do Enquadramento como ME ou</w:t>
      </w:r>
      <w:r>
        <w:rPr>
          <w:rFonts w:ascii="Arial" w:hAnsi="Arial"/>
          <w:sz w:val="24"/>
        </w:rPr>
        <w:t xml:space="preserve"> EPP</w:t>
      </w:r>
      <w:r w:rsidR="0030085E" w:rsidRPr="00FE7633">
        <w:rPr>
          <w:rFonts w:ascii="Arial" w:hAnsi="Arial"/>
          <w:sz w:val="24"/>
        </w:rPr>
        <w:t xml:space="preserve">. </w:t>
      </w:r>
      <w:r w:rsidR="0030085E" w:rsidRPr="00FE7633">
        <w:rPr>
          <w:rFonts w:ascii="Arial" w:hAnsi="Arial" w:cs="Arial"/>
          <w:sz w:val="24"/>
        </w:rPr>
        <w:t xml:space="preserve">Foi observado que as licitantes </w:t>
      </w:r>
      <w:r w:rsidR="0030085E">
        <w:rPr>
          <w:rFonts w:ascii="Arial" w:hAnsi="Arial" w:cs="Arial"/>
          <w:sz w:val="24"/>
        </w:rPr>
        <w:t>apresentaram</w:t>
      </w:r>
      <w:r w:rsidR="0030085E" w:rsidRPr="00FE7633">
        <w:rPr>
          <w:rFonts w:ascii="Arial" w:hAnsi="Arial" w:cs="Arial"/>
          <w:sz w:val="24"/>
        </w:rPr>
        <w:t xml:space="preserve"> declaração de enquadramento como </w:t>
      </w:r>
      <w:r>
        <w:rPr>
          <w:rFonts w:ascii="Arial" w:hAnsi="Arial" w:cs="Arial"/>
          <w:sz w:val="24"/>
        </w:rPr>
        <w:t>ME</w:t>
      </w:r>
      <w:r w:rsidR="0030085E" w:rsidRPr="00FE7633">
        <w:rPr>
          <w:rFonts w:ascii="Arial" w:hAnsi="Arial" w:cs="Arial"/>
          <w:sz w:val="24"/>
        </w:rPr>
        <w:t xml:space="preserve"> podendo desta forma fazer jus ao benefício previsto na Lei Complementar 123/2006.</w:t>
      </w:r>
      <w:r w:rsidR="00AF2CD3">
        <w:rPr>
          <w:rFonts w:ascii="Arial" w:hAnsi="Arial" w:cs="Arial"/>
          <w:sz w:val="24"/>
        </w:rPr>
        <w:t xml:space="preserve"> A empresa </w:t>
      </w:r>
      <w:r w:rsidR="00AF2CD3">
        <w:rPr>
          <w:rFonts w:ascii="Arial" w:hAnsi="Arial"/>
          <w:sz w:val="24"/>
        </w:rPr>
        <w:t>AMARAL &amp; ALMEIDA EMPREITEIRA DE MÃO-DE-OBRA LTDA ME</w:t>
      </w:r>
      <w:r w:rsidR="00AF2CD3" w:rsidRPr="00FE7633">
        <w:rPr>
          <w:rFonts w:ascii="Arial" w:hAnsi="Arial"/>
          <w:sz w:val="24"/>
        </w:rPr>
        <w:t xml:space="preserve"> </w:t>
      </w:r>
      <w:r w:rsidR="00AF2CD3">
        <w:rPr>
          <w:rFonts w:ascii="Arial" w:hAnsi="Arial"/>
          <w:sz w:val="24"/>
        </w:rPr>
        <w:t xml:space="preserve">apresentou a Certidão Negativa de Débitos Relativos aos Tributos Federais e à Divida Ativa da União vencida, sendo que, na condição de ME, caso seja vencedora do certame, terá 05 (cinco dias) para apresentação da nova certidão. </w:t>
      </w:r>
      <w:r w:rsidR="0030085E" w:rsidRPr="00FE7633">
        <w:rPr>
          <w:rFonts w:ascii="Arial" w:hAnsi="Arial"/>
          <w:sz w:val="24"/>
        </w:rPr>
        <w:t xml:space="preserve">Os documentos foram numerados pela Comissão, onde foi consignado na primeira página o número de folhas apresentadas assinadas e rubricadas. </w:t>
      </w:r>
      <w:r w:rsidR="0030085E" w:rsidRPr="00FE7633">
        <w:rPr>
          <w:rFonts w:ascii="Arial" w:hAnsi="Arial" w:cs="Arial"/>
          <w:sz w:val="24"/>
          <w:szCs w:val="24"/>
        </w:rPr>
        <w:t>A Comissão após análise dos documentos declarou habilitada</w:t>
      </w:r>
      <w:r w:rsidR="00AF2CD3">
        <w:rPr>
          <w:rFonts w:ascii="Arial" w:hAnsi="Arial" w:cs="Arial"/>
          <w:sz w:val="24"/>
          <w:szCs w:val="24"/>
        </w:rPr>
        <w:t>s</w:t>
      </w:r>
      <w:r w:rsidR="0030085E" w:rsidRPr="00FE7633">
        <w:rPr>
          <w:rFonts w:ascii="Arial" w:hAnsi="Arial" w:cs="Arial"/>
          <w:sz w:val="24"/>
          <w:szCs w:val="24"/>
        </w:rPr>
        <w:t xml:space="preserve"> as empresas licitante</w:t>
      </w:r>
      <w:r>
        <w:rPr>
          <w:rFonts w:ascii="Arial" w:hAnsi="Arial" w:cs="Arial"/>
          <w:sz w:val="24"/>
          <w:szCs w:val="24"/>
        </w:rPr>
        <w:t xml:space="preserve">s </w:t>
      </w:r>
      <w:r w:rsidR="0030085E" w:rsidRPr="00FE7633">
        <w:rPr>
          <w:rFonts w:ascii="Arial" w:hAnsi="Arial" w:cs="Arial"/>
          <w:sz w:val="24"/>
          <w:szCs w:val="24"/>
        </w:rPr>
        <w:t>por atender</w:t>
      </w:r>
      <w:r w:rsidR="0030085E">
        <w:rPr>
          <w:rFonts w:ascii="Arial" w:hAnsi="Arial" w:cs="Arial"/>
          <w:sz w:val="24"/>
          <w:szCs w:val="24"/>
        </w:rPr>
        <w:t>em</w:t>
      </w:r>
      <w:r w:rsidR="0030085E" w:rsidRPr="00FE7633">
        <w:rPr>
          <w:rFonts w:ascii="Arial" w:hAnsi="Arial" w:cs="Arial"/>
          <w:sz w:val="24"/>
          <w:szCs w:val="24"/>
        </w:rPr>
        <w:t xml:space="preserve"> ao Edital. A Comissão passou então para abertura das propostas financeiras e as páginas igualmente foram rubricadas. Analisada a parte formal a Comissão </w:t>
      </w:r>
      <w:r w:rsidR="00C21B32">
        <w:rPr>
          <w:rFonts w:ascii="Arial" w:hAnsi="Arial" w:cs="Arial"/>
          <w:sz w:val="24"/>
          <w:szCs w:val="24"/>
        </w:rPr>
        <w:t xml:space="preserve">verificou que a empresa </w:t>
      </w:r>
      <w:r w:rsidR="00C21B32">
        <w:rPr>
          <w:rFonts w:ascii="Arial" w:hAnsi="Arial"/>
          <w:sz w:val="24"/>
        </w:rPr>
        <w:t>AMARAL &amp; ALMEIDA EMPREITEIRA DE MÃO-DE-OBRA LTDA ME</w:t>
      </w:r>
      <w:r w:rsidR="00C21B32" w:rsidRPr="00FE7633">
        <w:rPr>
          <w:rFonts w:ascii="Arial" w:hAnsi="Arial" w:cs="Arial"/>
          <w:sz w:val="24"/>
          <w:szCs w:val="24"/>
        </w:rPr>
        <w:t xml:space="preserve"> </w:t>
      </w:r>
      <w:r w:rsidR="00C21B32">
        <w:rPr>
          <w:rFonts w:ascii="Arial" w:hAnsi="Arial" w:cs="Arial"/>
          <w:sz w:val="24"/>
          <w:szCs w:val="24"/>
        </w:rPr>
        <w:t xml:space="preserve">apresentou proposta com valor ofertado preenchido à caneta, não atendendo a exigência do Edital no item 4.1 que exige o preenchimento da mesma por meio mecânico, ficando assim desclassificada, após a Comissão </w:t>
      </w:r>
      <w:r w:rsidR="0030085E" w:rsidRPr="00FE7633">
        <w:rPr>
          <w:rFonts w:ascii="Arial" w:hAnsi="Arial" w:cs="Arial"/>
          <w:sz w:val="24"/>
          <w:szCs w:val="24"/>
        </w:rPr>
        <w:t xml:space="preserve">julgou as </w:t>
      </w:r>
      <w:r w:rsidR="00C21B32">
        <w:rPr>
          <w:rFonts w:ascii="Arial" w:hAnsi="Arial" w:cs="Arial"/>
          <w:sz w:val="24"/>
          <w:szCs w:val="24"/>
        </w:rPr>
        <w:t xml:space="preserve">demais propostas, considerando </w:t>
      </w:r>
      <w:r w:rsidR="0030085E" w:rsidRPr="00FE7633">
        <w:rPr>
          <w:rFonts w:ascii="Arial" w:hAnsi="Arial" w:cs="Arial"/>
          <w:sz w:val="24"/>
          <w:szCs w:val="24"/>
        </w:rPr>
        <w:t>válid</w:t>
      </w:r>
      <w:r>
        <w:rPr>
          <w:rFonts w:ascii="Arial" w:hAnsi="Arial" w:cs="Arial"/>
          <w:sz w:val="24"/>
          <w:szCs w:val="24"/>
        </w:rPr>
        <w:t>as</w:t>
      </w:r>
      <w:r w:rsidR="00C21B32">
        <w:rPr>
          <w:rFonts w:ascii="Arial" w:hAnsi="Arial" w:cs="Arial"/>
          <w:sz w:val="24"/>
          <w:szCs w:val="24"/>
        </w:rPr>
        <w:t>,</w:t>
      </w:r>
      <w:r w:rsidR="0030085E" w:rsidRPr="00FE7633">
        <w:rPr>
          <w:rFonts w:ascii="Arial" w:hAnsi="Arial" w:cs="Arial"/>
          <w:sz w:val="24"/>
          <w:szCs w:val="24"/>
        </w:rPr>
        <w:t xml:space="preserve"> passando a análise dos valores cotados. </w:t>
      </w:r>
    </w:p>
    <w:p w:rsidR="00E2615C" w:rsidRDefault="00E2615C" w:rsidP="0030085E">
      <w:pPr>
        <w:spacing w:after="0" w:line="240" w:lineRule="auto"/>
        <w:jc w:val="both"/>
        <w:rPr>
          <w:rFonts w:ascii="Arial" w:hAnsi="Arial"/>
          <w:sz w:val="24"/>
        </w:rPr>
      </w:pPr>
    </w:p>
    <w:p w:rsidR="00C21B32" w:rsidRDefault="00C21B32" w:rsidP="0030085E">
      <w:pPr>
        <w:spacing w:after="0" w:line="240" w:lineRule="auto"/>
        <w:jc w:val="both"/>
        <w:rPr>
          <w:rFonts w:ascii="Arial" w:hAnsi="Arial"/>
          <w:sz w:val="24"/>
        </w:rPr>
      </w:pPr>
    </w:p>
    <w:p w:rsidR="00C21B32" w:rsidRDefault="00C21B32" w:rsidP="0030085E">
      <w:pPr>
        <w:spacing w:after="0" w:line="240" w:lineRule="auto"/>
        <w:jc w:val="both"/>
        <w:rPr>
          <w:rFonts w:ascii="Arial" w:hAnsi="Arial"/>
          <w:sz w:val="24"/>
        </w:rPr>
      </w:pPr>
    </w:p>
    <w:p w:rsidR="00C21B32" w:rsidRDefault="00C21B32" w:rsidP="0030085E">
      <w:pPr>
        <w:spacing w:after="0" w:line="240" w:lineRule="auto"/>
        <w:jc w:val="both"/>
        <w:rPr>
          <w:rFonts w:ascii="Arial" w:hAnsi="Arial"/>
          <w:sz w:val="24"/>
        </w:rPr>
      </w:pPr>
    </w:p>
    <w:p w:rsidR="00C21B32" w:rsidRPr="00FE7633" w:rsidRDefault="00C21B32" w:rsidP="0030085E">
      <w:pPr>
        <w:spacing w:after="0" w:line="240" w:lineRule="auto"/>
        <w:jc w:val="both"/>
        <w:rPr>
          <w:rFonts w:ascii="Arial" w:hAnsi="Arial"/>
          <w:sz w:val="24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850"/>
        <w:gridCol w:w="709"/>
        <w:gridCol w:w="3400"/>
        <w:gridCol w:w="992"/>
      </w:tblGrid>
      <w:tr w:rsidR="0030085E" w:rsidRPr="00FE7633" w:rsidTr="00222EFE">
        <w:trPr>
          <w:trHeight w:val="635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30085E" w:rsidRPr="00FE7633" w:rsidRDefault="0030085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 w:rsidRPr="00FE7633">
              <w:rPr>
                <w:rFonts w:ascii="Arial" w:hAnsi="Arial"/>
                <w:b/>
                <w:sz w:val="18"/>
                <w:szCs w:val="18"/>
              </w:rPr>
              <w:t>Licitante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5E" w:rsidRPr="00FE7633" w:rsidRDefault="0030085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 w:rsidRPr="00FE7633">
              <w:rPr>
                <w:rFonts w:ascii="Arial" w:hAnsi="Arial"/>
                <w:b/>
                <w:sz w:val="18"/>
                <w:szCs w:val="18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85E" w:rsidRPr="00FE7633" w:rsidRDefault="0030085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85E" w:rsidRPr="00FE7633" w:rsidRDefault="0030085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5E" w:rsidRPr="00FE7633" w:rsidRDefault="00222EF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VALOR GLOBAL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85E" w:rsidRPr="00FE7633" w:rsidRDefault="0030085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22EFE" w:rsidRPr="00FE7633" w:rsidTr="00222EFE">
        <w:trPr>
          <w:trHeight w:val="635"/>
          <w:jc w:val="center"/>
        </w:trPr>
        <w:tc>
          <w:tcPr>
            <w:tcW w:w="3256" w:type="dxa"/>
            <w:shd w:val="clear" w:color="auto" w:fill="auto"/>
          </w:tcPr>
          <w:p w:rsidR="00222EFE" w:rsidRPr="00FE7633" w:rsidRDefault="00222EFE" w:rsidP="00487BA7">
            <w:pPr>
              <w:spacing w:after="0" w:line="276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AMARAL &amp; ALMEIDA EMPREITEIRA DE MÃO-DE-OBRA LTDA ME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FE" w:rsidRDefault="00222EF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22EFE" w:rsidRPr="00FE7633" w:rsidRDefault="00222EF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EFE" w:rsidRPr="00C21B32" w:rsidRDefault="00222EFE" w:rsidP="00222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EFE" w:rsidRPr="00FE7633" w:rsidRDefault="00222EFE" w:rsidP="00222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32" w:rsidRDefault="00C21B32" w:rsidP="00222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EFE" w:rsidRDefault="00C21B32" w:rsidP="00222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DESCLASSIFICADA </w:t>
            </w:r>
            <w:r w:rsidR="00222EFE" w:rsidRPr="00222EFE">
              <w:rPr>
                <w:rFonts w:ascii="Arial" w:hAnsi="Arial" w:cs="Arial"/>
                <w:b/>
                <w:sz w:val="24"/>
                <w:szCs w:val="24"/>
              </w:rPr>
              <w:t>56.789,74</w:t>
            </w:r>
          </w:p>
          <w:p w:rsidR="00C21B32" w:rsidRPr="00222EFE" w:rsidRDefault="00C21B32" w:rsidP="00222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2EFE" w:rsidRPr="00FE7633" w:rsidRDefault="00222EFE" w:rsidP="00300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EFE" w:rsidRPr="00FE7633" w:rsidTr="00222EFE">
        <w:trPr>
          <w:trHeight w:val="635"/>
          <w:jc w:val="center"/>
        </w:trPr>
        <w:tc>
          <w:tcPr>
            <w:tcW w:w="3256" w:type="dxa"/>
            <w:shd w:val="clear" w:color="auto" w:fill="auto"/>
          </w:tcPr>
          <w:p w:rsidR="00222EFE" w:rsidRPr="0030085E" w:rsidRDefault="00222EFE" w:rsidP="00487BA7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LL MAIS ESTILO EIRELI ME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2EFE" w:rsidRDefault="00222EF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EFE" w:rsidRPr="00FE7633" w:rsidRDefault="00222EF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EFE" w:rsidRPr="00FE7633" w:rsidRDefault="00222EF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FE" w:rsidRPr="00FE7633" w:rsidRDefault="00222EFE" w:rsidP="00222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61.714,73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2EFE" w:rsidRPr="00FE7633" w:rsidRDefault="00222EFE" w:rsidP="00300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EFE" w:rsidRPr="00FE7633" w:rsidTr="00222EFE">
        <w:trPr>
          <w:trHeight w:val="635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222EFE" w:rsidRPr="00790352" w:rsidRDefault="00222EFE" w:rsidP="00487BA7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ADILSON DE LIMA FLORES ME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FE" w:rsidRDefault="00222EF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EFE" w:rsidRPr="00FE7633" w:rsidRDefault="00222EF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EFE" w:rsidRPr="00FE7633" w:rsidRDefault="00222EFE" w:rsidP="00487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FE" w:rsidRPr="00FE7633" w:rsidRDefault="00222EFE" w:rsidP="00222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63.543,09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2EFE" w:rsidRPr="00FE7633" w:rsidRDefault="00222EFE" w:rsidP="00300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615C" w:rsidRDefault="00E2615C" w:rsidP="00300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15C" w:rsidRDefault="00E2615C" w:rsidP="00300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15C" w:rsidRDefault="00E2615C" w:rsidP="00300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085E" w:rsidRPr="00FE7633" w:rsidRDefault="0030085E" w:rsidP="00C21B3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7633">
        <w:rPr>
          <w:rFonts w:ascii="Arial" w:hAnsi="Arial" w:cs="Arial"/>
          <w:sz w:val="24"/>
          <w:szCs w:val="24"/>
        </w:rPr>
        <w:t xml:space="preserve">Utilizando o parâmetro de </w:t>
      </w:r>
      <w:r>
        <w:rPr>
          <w:rFonts w:ascii="Arial" w:hAnsi="Arial" w:cs="Arial"/>
          <w:b/>
          <w:sz w:val="24"/>
          <w:szCs w:val="24"/>
        </w:rPr>
        <w:t xml:space="preserve">Menor Preço - </w:t>
      </w:r>
      <w:r w:rsidR="00C21B32">
        <w:rPr>
          <w:rFonts w:ascii="Arial" w:hAnsi="Arial" w:cs="Arial"/>
          <w:b/>
          <w:sz w:val="24"/>
          <w:szCs w:val="24"/>
        </w:rPr>
        <w:t>Global</w:t>
      </w:r>
      <w:r w:rsidRPr="00FE7633">
        <w:rPr>
          <w:rFonts w:ascii="Arial" w:hAnsi="Arial" w:cs="Arial"/>
          <w:sz w:val="24"/>
          <w:szCs w:val="24"/>
        </w:rPr>
        <w:t xml:space="preserve"> a Comissão indica como vencedora a licitante </w:t>
      </w:r>
      <w:r w:rsidR="00C21B32">
        <w:rPr>
          <w:rFonts w:ascii="Arial" w:hAnsi="Arial"/>
          <w:sz w:val="22"/>
          <w:szCs w:val="22"/>
        </w:rPr>
        <w:t>LL MAIS ESTILO EIRELI ME</w:t>
      </w:r>
      <w:r w:rsidRPr="00FE7633">
        <w:rPr>
          <w:rFonts w:ascii="Arial" w:hAnsi="Arial" w:cs="Arial"/>
          <w:sz w:val="24"/>
          <w:szCs w:val="24"/>
        </w:rPr>
        <w:t xml:space="preserve"> conforme a tabela </w:t>
      </w:r>
      <w:r w:rsidR="00C21B32">
        <w:rPr>
          <w:rFonts w:ascii="Arial" w:hAnsi="Arial" w:cs="Arial"/>
          <w:sz w:val="24"/>
          <w:szCs w:val="24"/>
        </w:rPr>
        <w:t>acima</w:t>
      </w:r>
      <w:r w:rsidRPr="00FE763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Desta decisão será dada ciência as licitantes. Abre-se prazo para recurso. </w:t>
      </w:r>
      <w:r w:rsidRPr="00FE7633">
        <w:rPr>
          <w:rFonts w:ascii="Arial" w:hAnsi="Arial"/>
          <w:sz w:val="24"/>
        </w:rPr>
        <w:t>Nada mais havendo lavrou-se a presente ata que vai lida, encerrada e assinada pelos presentes, que a tudo assistiram e estão conformes.</w:t>
      </w:r>
    </w:p>
    <w:p w:rsidR="0030085E" w:rsidRDefault="0030085E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30085E" w:rsidRDefault="0030085E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30085E" w:rsidRDefault="0030085E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8B2E25" w:rsidRDefault="008B2E25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8B2E25" w:rsidRDefault="008B2E25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8B2E25" w:rsidRPr="00FE7633" w:rsidRDefault="008B2E25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30085E" w:rsidRPr="00FE7633" w:rsidRDefault="0030085E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C21B32" w:rsidRPr="002B0E43" w:rsidRDefault="00C21B32" w:rsidP="00C21B32">
      <w:pPr>
        <w:spacing w:after="120" w:line="276" w:lineRule="auto"/>
      </w:pPr>
      <w:r w:rsidRPr="009D0C6A">
        <w:rPr>
          <w:rFonts w:ascii="Arial" w:hAnsi="Arial" w:cs="Arial"/>
          <w:sz w:val="22"/>
          <w:szCs w:val="22"/>
          <w:lang w:eastAsia="en-US"/>
        </w:rPr>
        <w:t>C. HENRIQUE CEZIMBRA</w:t>
      </w:r>
      <w:r w:rsidRPr="009D0C6A">
        <w:rPr>
          <w:rFonts w:ascii="Arial" w:hAnsi="Arial" w:cs="Arial"/>
          <w:sz w:val="22"/>
          <w:szCs w:val="22"/>
          <w:lang w:val="x-none" w:eastAsia="en-US"/>
        </w:rPr>
        <w:t xml:space="preserve">     </w:t>
      </w:r>
      <w:r w:rsidRPr="009D0C6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D0C6A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VALDAIR ALFF BARCELOS      CARLOS ALBERTO R. BETTIO </w:t>
      </w:r>
    </w:p>
    <w:p w:rsidR="0030085E" w:rsidRPr="00C21B32" w:rsidRDefault="0030085E" w:rsidP="0030085E">
      <w:pPr>
        <w:spacing w:after="12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30085E" w:rsidRPr="00FE7633" w:rsidRDefault="0030085E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30085E" w:rsidRPr="00FE7633" w:rsidRDefault="0030085E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30085E" w:rsidRPr="00FE7633" w:rsidRDefault="0030085E" w:rsidP="0030085E"/>
    <w:p w:rsidR="00924219" w:rsidRDefault="00924219"/>
    <w:p w:rsidR="001856C3" w:rsidRDefault="001856C3"/>
    <w:p w:rsidR="001856C3" w:rsidRDefault="001856C3"/>
    <w:p w:rsidR="001856C3" w:rsidRDefault="001856C3"/>
    <w:p w:rsidR="001856C3" w:rsidRDefault="001856C3"/>
    <w:p w:rsidR="001856C3" w:rsidRDefault="001856C3"/>
    <w:p w:rsidR="001856C3" w:rsidRDefault="001856C3"/>
    <w:p w:rsidR="001856C3" w:rsidRDefault="001856C3"/>
    <w:p w:rsidR="001856C3" w:rsidRDefault="001856C3"/>
    <w:p w:rsidR="001856C3" w:rsidRDefault="001856C3"/>
    <w:p w:rsidR="001856C3" w:rsidRDefault="001856C3"/>
    <w:p w:rsidR="001856C3" w:rsidRDefault="001856C3" w:rsidP="001856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eastAsia="x-none"/>
        </w:rPr>
      </w:pPr>
      <w:bookmarkStart w:id="0" w:name="_GoBack"/>
      <w:bookmarkEnd w:id="0"/>
    </w:p>
    <w:p w:rsidR="001856C3" w:rsidRDefault="001856C3" w:rsidP="001856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eastAsia="x-none"/>
        </w:rPr>
      </w:pPr>
      <w:r>
        <w:rPr>
          <w:rFonts w:ascii="Arial" w:hAnsi="Arial"/>
          <w:b/>
          <w:iCs/>
          <w:spacing w:val="-3"/>
          <w:sz w:val="28"/>
          <w:lang w:eastAsia="x-none"/>
        </w:rPr>
        <w:t>ATA 02</w:t>
      </w:r>
    </w:p>
    <w:p w:rsidR="001856C3" w:rsidRDefault="001856C3" w:rsidP="001856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eastAsia="x-none"/>
        </w:rPr>
      </w:pPr>
    </w:p>
    <w:p w:rsidR="001856C3" w:rsidRDefault="001856C3" w:rsidP="001856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eastAsia="x-none"/>
        </w:rPr>
      </w:pP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 xml:space="preserve">ATA DE JULGAMENTO </w:t>
      </w:r>
      <w:r>
        <w:rPr>
          <w:rFonts w:ascii="Arial" w:hAnsi="Arial"/>
          <w:b/>
          <w:iCs/>
          <w:spacing w:val="-3"/>
          <w:sz w:val="28"/>
          <w:lang w:val="x-none" w:eastAsia="x-none"/>
        </w:rPr>
        <w:t>TOMADA DE PREÇOS</w:t>
      </w: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 xml:space="preserve"> Nº. </w:t>
      </w:r>
      <w:r>
        <w:rPr>
          <w:rFonts w:ascii="Arial" w:hAnsi="Arial"/>
          <w:b/>
          <w:iCs/>
          <w:spacing w:val="-3"/>
          <w:sz w:val="28"/>
          <w:lang w:eastAsia="x-none"/>
        </w:rPr>
        <w:t>03</w:t>
      </w: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>/</w:t>
      </w:r>
      <w:r>
        <w:rPr>
          <w:rFonts w:ascii="Arial" w:hAnsi="Arial"/>
          <w:b/>
          <w:iCs/>
          <w:spacing w:val="-3"/>
          <w:sz w:val="28"/>
          <w:lang w:val="x-none" w:eastAsia="x-none"/>
        </w:rPr>
        <w:t>201</w:t>
      </w:r>
      <w:r>
        <w:rPr>
          <w:rFonts w:ascii="Arial" w:hAnsi="Arial"/>
          <w:b/>
          <w:iCs/>
          <w:spacing w:val="-3"/>
          <w:sz w:val="28"/>
          <w:lang w:eastAsia="x-none"/>
        </w:rPr>
        <w:t>7</w:t>
      </w:r>
    </w:p>
    <w:p w:rsidR="00B51C36" w:rsidRPr="00FE7633" w:rsidRDefault="00B51C36" w:rsidP="001856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val="x-none" w:eastAsia="x-none"/>
        </w:rPr>
      </w:pPr>
    </w:p>
    <w:p w:rsidR="001856C3" w:rsidRPr="00B51C36" w:rsidRDefault="00B51C36" w:rsidP="00B51C36">
      <w:pPr>
        <w:spacing w:after="0" w:line="240" w:lineRule="auto"/>
        <w:jc w:val="both"/>
        <w:rPr>
          <w:rFonts w:ascii="Arial" w:hAnsi="Arial"/>
          <w:b/>
          <w:sz w:val="28"/>
          <w:szCs w:val="28"/>
        </w:rPr>
      </w:pPr>
      <w:r w:rsidRPr="00B51C36">
        <w:rPr>
          <w:rFonts w:ascii="Arial" w:hAnsi="Arial"/>
          <w:b/>
          <w:sz w:val="28"/>
          <w:szCs w:val="28"/>
        </w:rPr>
        <w:t>CONTRATAÇÃO DE SERVIÇOS COM APLICAÇÃO DE MATERIAL PARA CONSTRUÇÃO DE LÓCULOS MORTUÁRIOS NO CEMITÉRIO REPOUSO</w:t>
      </w:r>
    </w:p>
    <w:p w:rsidR="001856C3" w:rsidRDefault="001856C3" w:rsidP="001856C3">
      <w:pPr>
        <w:spacing w:after="0" w:line="240" w:lineRule="auto"/>
        <w:jc w:val="both"/>
        <w:rPr>
          <w:rFonts w:ascii="Arial" w:hAnsi="Arial"/>
          <w:sz w:val="24"/>
        </w:rPr>
      </w:pPr>
    </w:p>
    <w:p w:rsidR="001856C3" w:rsidRDefault="001856C3" w:rsidP="001856C3">
      <w:pPr>
        <w:spacing w:after="0" w:line="240" w:lineRule="auto"/>
        <w:jc w:val="both"/>
        <w:rPr>
          <w:rFonts w:ascii="Arial" w:hAnsi="Arial"/>
          <w:sz w:val="24"/>
        </w:rPr>
      </w:pPr>
    </w:p>
    <w:p w:rsidR="001856C3" w:rsidRDefault="001856C3" w:rsidP="001856C3">
      <w:pPr>
        <w:spacing w:after="0" w:line="240" w:lineRule="auto"/>
        <w:jc w:val="both"/>
        <w:rPr>
          <w:rFonts w:ascii="Arial" w:hAnsi="Arial"/>
          <w:sz w:val="24"/>
        </w:rPr>
      </w:pPr>
    </w:p>
    <w:p w:rsidR="001856C3" w:rsidRPr="00FE7633" w:rsidRDefault="001856C3" w:rsidP="001856C3">
      <w:pPr>
        <w:spacing w:after="0" w:line="240" w:lineRule="auto"/>
        <w:jc w:val="both"/>
        <w:rPr>
          <w:rFonts w:ascii="Arial" w:hAnsi="Arial"/>
          <w:sz w:val="24"/>
        </w:rPr>
      </w:pPr>
    </w:p>
    <w:p w:rsidR="00487BA7" w:rsidRDefault="001856C3" w:rsidP="001856C3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0A7CAF">
        <w:rPr>
          <w:rFonts w:ascii="Arial" w:hAnsi="Arial"/>
          <w:sz w:val="24"/>
          <w:szCs w:val="24"/>
        </w:rPr>
        <w:t xml:space="preserve">Aos oito dias do mês de </w:t>
      </w:r>
      <w:r w:rsidR="00487BA7">
        <w:rPr>
          <w:rFonts w:ascii="Arial" w:hAnsi="Arial"/>
          <w:sz w:val="24"/>
          <w:szCs w:val="24"/>
        </w:rPr>
        <w:t>agosto</w:t>
      </w:r>
      <w:r w:rsidRPr="000A7CAF">
        <w:rPr>
          <w:rFonts w:ascii="Arial" w:hAnsi="Arial"/>
          <w:sz w:val="24"/>
          <w:szCs w:val="24"/>
        </w:rPr>
        <w:t xml:space="preserve"> de dois mil e dezessete, às treze horas reuniu-se a Comissão de Licitações nomeada pela portaria 1.149/2017, para atendimento </w:t>
      </w:r>
      <w:r>
        <w:rPr>
          <w:rFonts w:ascii="Arial" w:hAnsi="Arial"/>
          <w:sz w:val="24"/>
          <w:szCs w:val="24"/>
        </w:rPr>
        <w:t>ao</w:t>
      </w:r>
      <w:r w:rsidRPr="000A7CAF">
        <w:rPr>
          <w:rFonts w:ascii="Arial" w:hAnsi="Arial"/>
          <w:sz w:val="24"/>
          <w:szCs w:val="24"/>
        </w:rPr>
        <w:t xml:space="preserve"> despacho de </w:t>
      </w:r>
      <w:r w:rsidRPr="000A7CAF">
        <w:rPr>
          <w:rFonts w:ascii="Arial" w:hAnsi="Arial"/>
          <w:b/>
          <w:sz w:val="24"/>
          <w:szCs w:val="24"/>
        </w:rPr>
        <w:t>REVOGAÇÂO</w:t>
      </w:r>
      <w:r w:rsidRPr="000A7CAF">
        <w:rPr>
          <w:rFonts w:ascii="Arial" w:hAnsi="Arial"/>
          <w:sz w:val="24"/>
          <w:szCs w:val="24"/>
        </w:rPr>
        <w:t xml:space="preserve"> </w:t>
      </w:r>
      <w:r w:rsidR="00487BA7">
        <w:rPr>
          <w:rFonts w:ascii="Arial" w:hAnsi="Arial"/>
          <w:sz w:val="24"/>
          <w:szCs w:val="24"/>
        </w:rPr>
        <w:t xml:space="preserve">da adjudicação, homologação e contrato </w:t>
      </w:r>
      <w:r w:rsidRPr="000A7CAF">
        <w:rPr>
          <w:rFonts w:ascii="Arial" w:hAnsi="Arial"/>
          <w:sz w:val="24"/>
          <w:szCs w:val="24"/>
        </w:rPr>
        <w:t xml:space="preserve">emitido </w:t>
      </w:r>
      <w:r w:rsidR="00487BA7">
        <w:rPr>
          <w:rFonts w:ascii="Arial" w:hAnsi="Arial"/>
          <w:sz w:val="24"/>
          <w:szCs w:val="24"/>
        </w:rPr>
        <w:t>em 28/07/2017</w:t>
      </w:r>
      <w:r w:rsidRPr="000A7CAF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referente</w:t>
      </w:r>
      <w:r w:rsidRPr="000A7CAF">
        <w:rPr>
          <w:rFonts w:ascii="Arial" w:hAnsi="Arial"/>
          <w:sz w:val="24"/>
          <w:szCs w:val="24"/>
        </w:rPr>
        <w:t xml:space="preserve"> </w:t>
      </w:r>
      <w:r w:rsidR="00487BA7">
        <w:rPr>
          <w:rFonts w:ascii="Arial" w:hAnsi="Arial"/>
          <w:sz w:val="24"/>
          <w:szCs w:val="24"/>
        </w:rPr>
        <w:t xml:space="preserve">a </w:t>
      </w:r>
      <w:r w:rsidRPr="000A7CAF">
        <w:rPr>
          <w:rFonts w:ascii="Arial" w:hAnsi="Arial"/>
          <w:sz w:val="24"/>
          <w:szCs w:val="24"/>
        </w:rPr>
        <w:t>empresa LL MAIS ESTILO EIRELI ME</w:t>
      </w:r>
      <w:r w:rsidR="00487BA7">
        <w:rPr>
          <w:rFonts w:ascii="Arial" w:hAnsi="Arial"/>
          <w:sz w:val="24"/>
          <w:szCs w:val="24"/>
        </w:rPr>
        <w:t>.</w:t>
      </w:r>
    </w:p>
    <w:p w:rsidR="001856C3" w:rsidRPr="000A7CAF" w:rsidRDefault="00487BA7" w:rsidP="001856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Considerando a solicitação da comissão de </w:t>
      </w:r>
      <w:r w:rsidR="0014792B">
        <w:rPr>
          <w:rFonts w:ascii="Arial" w:hAnsi="Arial"/>
          <w:sz w:val="24"/>
          <w:szCs w:val="24"/>
        </w:rPr>
        <w:t xml:space="preserve">emissão de </w:t>
      </w:r>
      <w:r w:rsidR="001856C3" w:rsidRPr="000A7CAF">
        <w:rPr>
          <w:rFonts w:ascii="Arial" w:hAnsi="Arial"/>
          <w:sz w:val="24"/>
          <w:szCs w:val="24"/>
        </w:rPr>
        <w:t>parecer jurídico</w:t>
      </w:r>
      <w:r>
        <w:rPr>
          <w:rFonts w:ascii="Arial" w:hAnsi="Arial"/>
          <w:sz w:val="24"/>
          <w:szCs w:val="24"/>
        </w:rPr>
        <w:t xml:space="preserve"> da junto a Procuradoria Geral do Município</w:t>
      </w:r>
      <w:r w:rsidR="0014792B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que foi em</w:t>
      </w:r>
      <w:r w:rsidR="004104EB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tido em 08/08/2017, a Comissão Permanente de Licitações acolhe o parecer </w:t>
      </w:r>
      <w:r w:rsidR="001856C3" w:rsidRPr="000A7CAF">
        <w:rPr>
          <w:rFonts w:ascii="Arial" w:hAnsi="Arial"/>
          <w:sz w:val="24"/>
          <w:szCs w:val="24"/>
        </w:rPr>
        <w:t xml:space="preserve">e </w:t>
      </w:r>
      <w:r>
        <w:rPr>
          <w:rFonts w:ascii="Arial" w:hAnsi="Arial"/>
          <w:sz w:val="24"/>
          <w:szCs w:val="24"/>
        </w:rPr>
        <w:t xml:space="preserve">desclassifica a empresa </w:t>
      </w:r>
      <w:r w:rsidRPr="000A7CAF">
        <w:rPr>
          <w:rFonts w:ascii="Arial" w:hAnsi="Arial"/>
          <w:sz w:val="24"/>
          <w:szCs w:val="24"/>
        </w:rPr>
        <w:t>LL MAIS ESTILO EIRELI ME</w:t>
      </w:r>
      <w:r w:rsidR="0014792B">
        <w:rPr>
          <w:rFonts w:ascii="Arial" w:hAnsi="Arial"/>
          <w:sz w:val="24"/>
          <w:szCs w:val="24"/>
        </w:rPr>
        <w:t>,</w:t>
      </w:r>
      <w:r w:rsidRPr="000A7CA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pelos motivos expostos no </w:t>
      </w:r>
      <w:r w:rsidR="004E4302">
        <w:rPr>
          <w:rFonts w:ascii="Arial" w:hAnsi="Arial"/>
          <w:sz w:val="24"/>
          <w:szCs w:val="24"/>
        </w:rPr>
        <w:t>referido parecer</w:t>
      </w:r>
      <w:r w:rsidR="0014792B">
        <w:rPr>
          <w:rFonts w:ascii="Arial" w:hAnsi="Arial"/>
          <w:sz w:val="24"/>
          <w:szCs w:val="24"/>
        </w:rPr>
        <w:t>,</w:t>
      </w:r>
      <w:r w:rsidR="004E4302">
        <w:rPr>
          <w:rFonts w:ascii="Arial" w:hAnsi="Arial"/>
          <w:sz w:val="24"/>
          <w:szCs w:val="24"/>
        </w:rPr>
        <w:t xml:space="preserve"> e classifica a empresa </w:t>
      </w:r>
      <w:r w:rsidR="004E4302" w:rsidRPr="000A7CAF">
        <w:rPr>
          <w:rFonts w:ascii="Arial" w:hAnsi="Arial"/>
          <w:b/>
          <w:sz w:val="24"/>
          <w:szCs w:val="24"/>
        </w:rPr>
        <w:t>ADILSON DE LIMA FLORES ME</w:t>
      </w:r>
      <w:r w:rsidR="004E4302" w:rsidRPr="000A7CAF">
        <w:rPr>
          <w:rFonts w:ascii="Arial" w:hAnsi="Arial"/>
          <w:sz w:val="24"/>
          <w:szCs w:val="24"/>
        </w:rPr>
        <w:t xml:space="preserve"> no valor total global de </w:t>
      </w:r>
      <w:r w:rsidR="004E4302" w:rsidRPr="000A7CAF">
        <w:rPr>
          <w:rFonts w:ascii="Arial" w:hAnsi="Arial"/>
          <w:b/>
          <w:sz w:val="24"/>
          <w:szCs w:val="24"/>
        </w:rPr>
        <w:t>R$</w:t>
      </w:r>
      <w:r w:rsidR="004E4302" w:rsidRPr="000A7CAF">
        <w:rPr>
          <w:rFonts w:ascii="Arial" w:hAnsi="Arial"/>
          <w:sz w:val="24"/>
          <w:szCs w:val="24"/>
        </w:rPr>
        <w:t xml:space="preserve"> </w:t>
      </w:r>
      <w:r w:rsidR="000A71F2">
        <w:rPr>
          <w:rFonts w:ascii="Arial" w:hAnsi="Arial" w:cs="Arial"/>
          <w:b/>
          <w:sz w:val="24"/>
          <w:szCs w:val="24"/>
        </w:rPr>
        <w:t>63.543,09</w:t>
      </w:r>
      <w:r w:rsidR="001856C3" w:rsidRPr="000A7CAF">
        <w:rPr>
          <w:rFonts w:ascii="Arial" w:hAnsi="Arial" w:cs="Arial"/>
          <w:b/>
          <w:sz w:val="24"/>
          <w:szCs w:val="24"/>
        </w:rPr>
        <w:t>.</w:t>
      </w:r>
    </w:p>
    <w:p w:rsidR="001856C3" w:rsidRPr="000A7CAF" w:rsidRDefault="001856C3" w:rsidP="001856C3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856C3" w:rsidRPr="000A7CAF" w:rsidRDefault="001856C3" w:rsidP="001856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A7CAF">
        <w:rPr>
          <w:rFonts w:ascii="Arial" w:hAnsi="Arial"/>
          <w:sz w:val="24"/>
          <w:szCs w:val="24"/>
        </w:rPr>
        <w:t>Nada mais havendo lavrou-se a presente ata que vai lida, encerrada e assinada pelos presentes, que a tudo assistiram e estão conformes.</w:t>
      </w:r>
    </w:p>
    <w:p w:rsidR="001856C3" w:rsidRDefault="001856C3" w:rsidP="00185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1856C3" w:rsidRDefault="001856C3" w:rsidP="00185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1856C3" w:rsidRDefault="001856C3" w:rsidP="00185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1856C3" w:rsidRDefault="001856C3" w:rsidP="00185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1856C3" w:rsidRDefault="001856C3" w:rsidP="00185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1856C3" w:rsidRPr="00FE7633" w:rsidRDefault="001856C3" w:rsidP="00185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1856C3" w:rsidRPr="00FE7633" w:rsidRDefault="001856C3" w:rsidP="00185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1856C3" w:rsidRPr="00C21B32" w:rsidRDefault="001856C3" w:rsidP="00B51C36">
      <w:pPr>
        <w:spacing w:after="120" w:line="276" w:lineRule="auto"/>
        <w:rPr>
          <w:rFonts w:ascii="Arial" w:hAnsi="Arial" w:cs="Arial"/>
          <w:sz w:val="24"/>
          <w:szCs w:val="24"/>
          <w:lang w:eastAsia="en-US"/>
        </w:rPr>
      </w:pPr>
      <w:r w:rsidRPr="009D0C6A">
        <w:rPr>
          <w:rFonts w:ascii="Arial" w:hAnsi="Arial" w:cs="Arial"/>
          <w:sz w:val="22"/>
          <w:szCs w:val="22"/>
          <w:lang w:eastAsia="en-US"/>
        </w:rPr>
        <w:t>C. HENRIQUE CEZIMBRA</w:t>
      </w:r>
      <w:r w:rsidRPr="009D0C6A">
        <w:rPr>
          <w:rFonts w:ascii="Arial" w:hAnsi="Arial" w:cs="Arial"/>
          <w:sz w:val="22"/>
          <w:szCs w:val="22"/>
          <w:lang w:val="x-none" w:eastAsia="en-US"/>
        </w:rPr>
        <w:t xml:space="preserve">     </w:t>
      </w:r>
      <w:r w:rsidRPr="009D0C6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D0C6A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VALDAIR ALFF BARCELOS      </w:t>
      </w:r>
      <w:r w:rsidR="00B51C36">
        <w:rPr>
          <w:rFonts w:ascii="Arial" w:hAnsi="Arial" w:cs="Arial"/>
          <w:sz w:val="22"/>
          <w:szCs w:val="22"/>
          <w:lang w:eastAsia="en-US"/>
        </w:rPr>
        <w:t>ANDRÉ BON BALSEMÃO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1856C3" w:rsidRPr="00FE7633" w:rsidRDefault="001856C3" w:rsidP="001856C3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1856C3" w:rsidRPr="00FE7633" w:rsidRDefault="001856C3" w:rsidP="001856C3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1856C3" w:rsidRPr="00FE7633" w:rsidRDefault="001856C3" w:rsidP="001856C3"/>
    <w:p w:rsidR="001856C3" w:rsidRDefault="001856C3"/>
    <w:sectPr w:rsidR="001856C3" w:rsidSect="00487BA7">
      <w:footerReference w:type="default" r:id="rId6"/>
      <w:headerReference w:type="first" r:id="rId7"/>
      <w:footerReference w:type="first" r:id="rId8"/>
      <w:pgSz w:w="11907" w:h="16840" w:code="9"/>
      <w:pgMar w:top="1701" w:right="1134" w:bottom="1701" w:left="1134" w:header="284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A7" w:rsidRDefault="00487BA7">
      <w:pPr>
        <w:spacing w:after="0" w:line="240" w:lineRule="auto"/>
      </w:pPr>
      <w:r>
        <w:separator/>
      </w:r>
    </w:p>
  </w:endnote>
  <w:endnote w:type="continuationSeparator" w:id="0">
    <w:p w:rsidR="00487BA7" w:rsidRDefault="0048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A7" w:rsidRDefault="00487BA7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0A71F2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A7" w:rsidRDefault="00487BA7">
    <w:pPr>
      <w:pStyle w:val="Rodap"/>
    </w:pPr>
    <w:r w:rsidRPr="00BB3CFE">
      <w:rPr>
        <w:noProof/>
      </w:rPr>
      <w:drawing>
        <wp:inline distT="0" distB="0" distL="0" distR="0" wp14:anchorId="5EA69A54" wp14:editId="387B5FA8">
          <wp:extent cx="6391275" cy="733425"/>
          <wp:effectExtent l="0" t="0" r="9525" b="9525"/>
          <wp:docPr id="1" name="Imagem 1" descr="Rodapé Triu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Triu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A7" w:rsidRDefault="00487BA7">
      <w:pPr>
        <w:spacing w:after="0" w:line="240" w:lineRule="auto"/>
      </w:pPr>
      <w:r>
        <w:separator/>
      </w:r>
    </w:p>
  </w:footnote>
  <w:footnote w:type="continuationSeparator" w:id="0">
    <w:p w:rsidR="00487BA7" w:rsidRDefault="0048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A7" w:rsidRDefault="00487BA7" w:rsidP="00487BA7">
    <w:pPr>
      <w:pStyle w:val="Cabealho"/>
      <w:jc w:val="center"/>
    </w:pPr>
    <w:r w:rsidRPr="00BB3CFE">
      <w:rPr>
        <w:noProof/>
      </w:rPr>
      <w:drawing>
        <wp:inline distT="0" distB="0" distL="0" distR="0" wp14:anchorId="2FBE0DCA" wp14:editId="2923D4C7">
          <wp:extent cx="2771775" cy="1228725"/>
          <wp:effectExtent l="0" t="0" r="9525" b="9525"/>
          <wp:docPr id="2" name="Imagem 2" descr="Cabeçalho Triu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Triu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5E"/>
    <w:rsid w:val="000A71F2"/>
    <w:rsid w:val="0014792B"/>
    <w:rsid w:val="001856C3"/>
    <w:rsid w:val="00222EFE"/>
    <w:rsid w:val="0030085E"/>
    <w:rsid w:val="003321EB"/>
    <w:rsid w:val="0034065C"/>
    <w:rsid w:val="004104EB"/>
    <w:rsid w:val="00487BA7"/>
    <w:rsid w:val="004E4302"/>
    <w:rsid w:val="005F26BF"/>
    <w:rsid w:val="00790352"/>
    <w:rsid w:val="008852C5"/>
    <w:rsid w:val="008B2E25"/>
    <w:rsid w:val="00924219"/>
    <w:rsid w:val="00A41B16"/>
    <w:rsid w:val="00AF2CD3"/>
    <w:rsid w:val="00B51C36"/>
    <w:rsid w:val="00C21B32"/>
    <w:rsid w:val="00C76CFF"/>
    <w:rsid w:val="00D64C11"/>
    <w:rsid w:val="00E2615C"/>
    <w:rsid w:val="00F23109"/>
    <w:rsid w:val="00F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E573B-0F8E-4751-9516-73E8383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00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085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0085E"/>
  </w:style>
  <w:style w:type="paragraph" w:styleId="Cabealho">
    <w:name w:val="header"/>
    <w:basedOn w:val="Normal"/>
    <w:link w:val="CabealhoChar"/>
    <w:rsid w:val="0030085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3008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85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Lerch</dc:creator>
  <cp:lastModifiedBy>Carlos Henrique Cezimbra</cp:lastModifiedBy>
  <cp:revision>21</cp:revision>
  <cp:lastPrinted>2017-08-16T16:44:00Z</cp:lastPrinted>
  <dcterms:created xsi:type="dcterms:W3CDTF">2017-06-28T14:58:00Z</dcterms:created>
  <dcterms:modified xsi:type="dcterms:W3CDTF">2017-08-16T17:05:00Z</dcterms:modified>
</cp:coreProperties>
</file>